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9BC1C" w14:textId="77777777" w:rsidR="00A1458F" w:rsidRDefault="00243401">
      <w:pPr>
        <w:spacing w:after="415" w:line="259" w:lineRule="auto"/>
        <w:ind w:left="0" w:firstLine="0"/>
        <w:jc w:val="right"/>
      </w:pPr>
      <w:r>
        <w:rPr>
          <w:rFonts w:ascii="Arial" w:eastAsia="Arial" w:hAnsi="Arial" w:cs="Arial"/>
          <w:sz w:val="18"/>
        </w:rPr>
        <w:t xml:space="preserve"> </w:t>
      </w:r>
    </w:p>
    <w:p w14:paraId="6B423C49" w14:textId="7E93D5BE" w:rsidR="00A1458F" w:rsidRDefault="00243401">
      <w:pPr>
        <w:spacing w:after="208" w:line="259" w:lineRule="auto"/>
        <w:ind w:left="0" w:firstLine="0"/>
        <w:jc w:val="left"/>
      </w:pPr>
      <w:r>
        <w:rPr>
          <w:b/>
          <w:sz w:val="24"/>
          <w:u w:val="single" w:color="000000"/>
        </w:rPr>
        <w:t xml:space="preserve">Příloha č. </w:t>
      </w:r>
      <w:r w:rsidR="00A25FBE">
        <w:rPr>
          <w:b/>
          <w:sz w:val="24"/>
          <w:u w:val="single" w:color="000000"/>
        </w:rPr>
        <w:t>2</w:t>
      </w:r>
      <w:r>
        <w:rPr>
          <w:b/>
          <w:sz w:val="24"/>
          <w:u w:val="single" w:color="000000"/>
        </w:rPr>
        <w:t xml:space="preserve"> – Servisní podmínky</w:t>
      </w:r>
      <w:r>
        <w:rPr>
          <w:b/>
          <w:sz w:val="24"/>
        </w:rPr>
        <w:t xml:space="preserve"> </w:t>
      </w:r>
    </w:p>
    <w:p w14:paraId="670FAC9C" w14:textId="77777777" w:rsidR="00A1458F" w:rsidRDefault="00243401">
      <w:pPr>
        <w:pStyle w:val="Nadpis1"/>
        <w:ind w:left="628" w:hanging="643"/>
      </w:pPr>
      <w:r>
        <w:t>Servis zařízení</w:t>
      </w:r>
      <w:r>
        <w:rPr>
          <w:u w:val="none"/>
        </w:rPr>
        <w:t xml:space="preserve">  </w:t>
      </w:r>
    </w:p>
    <w:p w14:paraId="5F5DD2AF" w14:textId="4A66B8D6" w:rsidR="00A1458F" w:rsidRDefault="00243401">
      <w:pPr>
        <w:spacing w:after="263"/>
        <w:ind w:left="-5" w:right="39"/>
      </w:pPr>
      <w:r>
        <w:t xml:space="preserve">Zadavatel požaduje po dobu </w:t>
      </w:r>
      <w:r w:rsidR="00F31DF7">
        <w:t>3</w:t>
      </w:r>
      <w:r>
        <w:t xml:space="preserve"> let zajištění servisu ve vztahu k dodávce technologických zařízení. Servis bude spočívat v garančních kontrolách, povinných revizích a opravách poruch mimo záruku.  </w:t>
      </w:r>
    </w:p>
    <w:p w14:paraId="2D6860A3" w14:textId="77777777" w:rsidR="00A1458F" w:rsidRDefault="00243401">
      <w:pPr>
        <w:pStyle w:val="Nadpis1"/>
        <w:ind w:left="628" w:hanging="643"/>
      </w:pPr>
      <w:r>
        <w:t>Garanční kontroly a revize</w:t>
      </w:r>
      <w:r>
        <w:rPr>
          <w:u w:val="none"/>
        </w:rPr>
        <w:t xml:space="preserve"> </w:t>
      </w:r>
    </w:p>
    <w:p w14:paraId="1850179F" w14:textId="6265A074" w:rsidR="00A1458F" w:rsidRDefault="00243401">
      <w:pPr>
        <w:ind w:left="-5" w:right="39"/>
      </w:pPr>
      <w:r>
        <w:t>Garanční kontroly stanovuje příslušný výrobce technologických zařízení a ostatních dodaných zařízení. Zhotovitel je povinen předložit servisní plán, který bude obsahovat termíny a rozsah servisních činností včetně nezbytného servisního materiálu. Zhotovitel v servisním plánu též uvede, jaká je předpokládána životnost kritických komponent jednotlivých technologických zařízení a celků předmětných vodíkových</w:t>
      </w:r>
      <w:r w:rsidR="000E1B51">
        <w:t xml:space="preserve"> a podpůrných</w:t>
      </w:r>
      <w:r>
        <w:t xml:space="preserve"> technologií (</w:t>
      </w:r>
      <w:r w:rsidR="000E1B51">
        <w:t>filtry, čerpadla</w:t>
      </w:r>
      <w:r>
        <w:t xml:space="preserve">, </w:t>
      </w:r>
      <w:proofErr w:type="gramStart"/>
      <w:r>
        <w:t>ventily,</w:t>
      </w:r>
      <w:proofErr w:type="gramEnd"/>
      <w:r>
        <w:t xml:space="preserve"> atd.). Tyto údaje je potřeba uvést ve standardizovaných technických jednotkách (moto-hodiny (</w:t>
      </w:r>
      <w:proofErr w:type="spellStart"/>
      <w:r>
        <w:t>MTh</w:t>
      </w:r>
      <w:proofErr w:type="spellEnd"/>
      <w:r>
        <w:t xml:space="preserve">), pracovní cykly, roky). Součástí garančních kontrol a revizí bude i zahrnutí nezbytně nutného spotřebního materiálu určeného pro obnovu funkčních vlastností technologických zařízení v souladu se servisním plánem. </w:t>
      </w:r>
    </w:p>
    <w:p w14:paraId="53A6F066" w14:textId="77777777" w:rsidR="00A1458F" w:rsidRDefault="00243401">
      <w:pPr>
        <w:ind w:left="-5" w:right="39"/>
      </w:pPr>
      <w:r>
        <w:t xml:space="preserve">Plánované garanční prohlídky bude zhotovitel povinen předem projednat s objednatelem minimálně 14 dní před uvažovaným prováděním prací. </w:t>
      </w:r>
    </w:p>
    <w:p w14:paraId="1F62651B" w14:textId="7C96E501" w:rsidR="00A1458F" w:rsidRDefault="00243401">
      <w:pPr>
        <w:tabs>
          <w:tab w:val="center" w:pos="2888"/>
        </w:tabs>
        <w:spacing w:after="83" w:line="259" w:lineRule="auto"/>
        <w:ind w:left="-15" w:firstLine="0"/>
        <w:jc w:val="left"/>
      </w:pPr>
      <w:r>
        <w:rPr>
          <w:b/>
          <w:sz w:val="22"/>
        </w:rPr>
        <w:t>3)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  <w:sz w:val="22"/>
          <w:u w:val="single" w:color="000000"/>
        </w:rPr>
        <w:t>Opravy poruch technologických zařízení:</w:t>
      </w:r>
      <w:r>
        <w:rPr>
          <w:b/>
          <w:sz w:val="22"/>
        </w:rPr>
        <w:t xml:space="preserve">  </w:t>
      </w:r>
    </w:p>
    <w:p w14:paraId="1CCD851E" w14:textId="77777777" w:rsidR="00A1458F" w:rsidRDefault="00243401">
      <w:pPr>
        <w:spacing w:after="22"/>
        <w:ind w:left="-5" w:right="39"/>
      </w:pPr>
      <w:r>
        <w:t xml:space="preserve">Objednatel požaduje dodržet následující kategorizaci možných vzniklých poruch na technologických zařízeních a lhůt jejich odstranění: </w:t>
      </w:r>
    </w:p>
    <w:p w14:paraId="13788E3E" w14:textId="77777777" w:rsidR="00A1458F" w:rsidRDefault="00243401">
      <w:pPr>
        <w:spacing w:after="14" w:line="259" w:lineRule="auto"/>
        <w:ind w:left="67" w:firstLine="0"/>
        <w:jc w:val="left"/>
      </w:pPr>
      <w:r>
        <w:t xml:space="preserve"> </w:t>
      </w:r>
    </w:p>
    <w:p w14:paraId="12F598CC" w14:textId="77777777"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1:  </w:t>
      </w:r>
    </w:p>
    <w:p w14:paraId="72F38D64" w14:textId="76DBCA36" w:rsidR="00A1458F" w:rsidRDefault="00243401">
      <w:pPr>
        <w:numPr>
          <w:ilvl w:val="1"/>
          <w:numId w:val="1"/>
        </w:numPr>
        <w:spacing w:after="26"/>
        <w:ind w:right="39" w:hanging="360"/>
      </w:pPr>
      <w:r>
        <w:t xml:space="preserve">úplná odstávka </w:t>
      </w:r>
      <w:r w:rsidR="00E94ED2">
        <w:t xml:space="preserve">dodávky </w:t>
      </w:r>
      <w:r>
        <w:t xml:space="preserve">vodíku </w:t>
      </w:r>
      <w:r w:rsidR="00E94ED2">
        <w:t>pro palivové články zapříčiněná technologií plynových rozvodů LVT</w:t>
      </w:r>
      <w:r>
        <w:t xml:space="preserve">;  </w:t>
      </w:r>
    </w:p>
    <w:p w14:paraId="048439E1" w14:textId="68E96AC2" w:rsidR="00A1458F" w:rsidRDefault="00E94ED2">
      <w:pPr>
        <w:numPr>
          <w:ilvl w:val="1"/>
          <w:numId w:val="1"/>
        </w:numPr>
        <w:spacing w:after="24"/>
        <w:ind w:right="39" w:hanging="360"/>
      </w:pPr>
      <w:r>
        <w:t>úplná odstávka odběru vodíku z elektrolyzérů</w:t>
      </w:r>
      <w:r w:rsidRPr="00E94ED2">
        <w:t xml:space="preserve"> </w:t>
      </w:r>
      <w:r>
        <w:t>zapříčiněná technologií plynových rozvodů LVT</w:t>
      </w:r>
      <w:r w:rsidR="00243401">
        <w:t xml:space="preserve">;  </w:t>
      </w:r>
    </w:p>
    <w:p w14:paraId="5FAD2CA7" w14:textId="5DB1791B" w:rsidR="00A1458F" w:rsidRDefault="00E94ED2">
      <w:pPr>
        <w:numPr>
          <w:ilvl w:val="1"/>
          <w:numId w:val="1"/>
        </w:numPr>
        <w:spacing w:after="26"/>
        <w:ind w:right="39" w:hanging="360"/>
      </w:pPr>
      <w:r>
        <w:t xml:space="preserve">porucha technologie plynových rozvodů dusíku bránící </w:t>
      </w:r>
      <w:proofErr w:type="spellStart"/>
      <w:r>
        <w:t>inertizaci</w:t>
      </w:r>
      <w:proofErr w:type="spellEnd"/>
      <w:r>
        <w:t xml:space="preserve"> zařízení LVT</w:t>
      </w:r>
      <w:r w:rsidR="00243401">
        <w:t xml:space="preserve">;  </w:t>
      </w:r>
    </w:p>
    <w:p w14:paraId="4856B932" w14:textId="1088B08B" w:rsidR="00E94ED2" w:rsidRDefault="00641840">
      <w:pPr>
        <w:numPr>
          <w:ilvl w:val="1"/>
          <w:numId w:val="1"/>
        </w:numPr>
        <w:spacing w:after="26"/>
        <w:ind w:right="39" w:hanging="360"/>
      </w:pPr>
      <w:r>
        <w:t xml:space="preserve">porucha na technologii chladící a provozní </w:t>
      </w:r>
      <w:proofErr w:type="spellStart"/>
      <w:r>
        <w:t>demi</w:t>
      </w:r>
      <w:proofErr w:type="spellEnd"/>
      <w:r>
        <w:t xml:space="preserve"> vody a rozvodech elektrolytu bránící provozu zařízení LVT</w:t>
      </w:r>
    </w:p>
    <w:p w14:paraId="1196DA30" w14:textId="7C7FD879" w:rsidR="00A1458F" w:rsidRDefault="00243401" w:rsidP="003E0B4D">
      <w:pPr>
        <w:numPr>
          <w:ilvl w:val="1"/>
          <w:numId w:val="1"/>
        </w:numPr>
        <w:spacing w:after="26"/>
        <w:ind w:right="39" w:hanging="360"/>
      </w:pPr>
      <w:r>
        <w:t xml:space="preserve">únik z potrubí, nebo hadic.  </w:t>
      </w:r>
    </w:p>
    <w:p w14:paraId="66E96C81" w14:textId="77777777" w:rsidR="00641840" w:rsidRDefault="00641840" w:rsidP="003E0B4D">
      <w:pPr>
        <w:spacing w:after="26"/>
        <w:ind w:left="360" w:right="39" w:firstLine="0"/>
      </w:pPr>
    </w:p>
    <w:p w14:paraId="633D1CE8" w14:textId="4FA087BA" w:rsidR="00A1458F" w:rsidRDefault="00243401">
      <w:pPr>
        <w:ind w:left="-5" w:right="39"/>
      </w:pPr>
      <w:r>
        <w:t xml:space="preserve">Zhotovitel je povinen zahájit řešení opravy do </w:t>
      </w:r>
      <w:r w:rsidR="00E94ED2">
        <w:t>10</w:t>
      </w:r>
      <w:r w:rsidR="00707FE7">
        <w:t xml:space="preserve"> kalendářních dnů</w:t>
      </w:r>
      <w:r>
        <w:t xml:space="preserve"> od jejího nahlášení na dohodnutých kontaktech, případně jinou dohodnutou formou.  </w:t>
      </w:r>
    </w:p>
    <w:p w14:paraId="77BAEE61" w14:textId="3788AC01" w:rsidR="00A1458F" w:rsidRDefault="00243401" w:rsidP="003E0B4D">
      <w:pPr>
        <w:ind w:left="-5" w:right="39"/>
      </w:pPr>
      <w:r>
        <w:t xml:space="preserve">Lhůta pro dokončení opravy poruch kategorie 1 činí max. </w:t>
      </w:r>
      <w:r w:rsidR="00E94ED2">
        <w:t>60</w:t>
      </w:r>
      <w:r w:rsidR="00707FE7">
        <w:t xml:space="preserve"> kalendářních dnů</w:t>
      </w:r>
      <w:r>
        <w:t xml:space="preserve"> od zahájení řešení opravy</w:t>
      </w:r>
      <w:r w:rsidR="001F19CD">
        <w:t>, přičemž lhůta může být v jednotlivých případech upravena dle dohody s objednatelem</w:t>
      </w:r>
      <w:r>
        <w:t xml:space="preserve">. </w:t>
      </w:r>
      <w:r>
        <w:rPr>
          <w:rFonts w:ascii="Arial" w:eastAsia="Arial" w:hAnsi="Arial" w:cs="Arial"/>
          <w:sz w:val="18"/>
        </w:rPr>
        <w:t xml:space="preserve"> </w:t>
      </w:r>
    </w:p>
    <w:p w14:paraId="5957F985" w14:textId="487F1E15" w:rsidR="00A1458F" w:rsidRDefault="00243401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t xml:space="preserve">Poruchy kategorie </w:t>
      </w:r>
      <w:r w:rsidR="00E94ED2">
        <w:t>2</w:t>
      </w:r>
      <w:r>
        <w:t xml:space="preserve">:  </w:t>
      </w:r>
    </w:p>
    <w:p w14:paraId="3616DC3C" w14:textId="4BD0A76A" w:rsidR="00A1458F" w:rsidRDefault="00243401">
      <w:pPr>
        <w:numPr>
          <w:ilvl w:val="1"/>
          <w:numId w:val="1"/>
        </w:numPr>
        <w:spacing w:after="221"/>
        <w:ind w:right="39" w:hanging="360"/>
      </w:pPr>
      <w:r>
        <w:t xml:space="preserve">ostatní poruchy nespecifikované v </w:t>
      </w:r>
      <w:r w:rsidR="00E94ED2">
        <w:t xml:space="preserve">kategorii </w:t>
      </w:r>
      <w:r>
        <w:t xml:space="preserve">1 a jiné blíže nespecifikované závady na </w:t>
      </w:r>
      <w:r w:rsidR="00E94ED2">
        <w:t>dodaných</w:t>
      </w:r>
      <w:r>
        <w:t xml:space="preserve"> technologických zařízeních. </w:t>
      </w:r>
    </w:p>
    <w:p w14:paraId="260BC0CA" w14:textId="257AA8B1" w:rsidR="00A1458F" w:rsidRDefault="00243401">
      <w:pPr>
        <w:ind w:left="-5" w:right="39"/>
      </w:pPr>
      <w:r>
        <w:t xml:space="preserve">Zhotovitel je povinen zahájit řešení opravy bez zbytečného odkladu, nejpozději do </w:t>
      </w:r>
      <w:r w:rsidR="00707FE7">
        <w:t>14 kalendářních</w:t>
      </w:r>
      <w:r>
        <w:t xml:space="preserve"> dnů od jejího nahlášení na dohodnutých kontaktech, případně jinou dohodnutou formou, pokud se zhotovitel s objednatelem v konkrétním případě písemně (e-mailem) nedohodne jinak. </w:t>
      </w:r>
    </w:p>
    <w:p w14:paraId="2BEFDACD" w14:textId="1EB35F8F" w:rsidR="00A1458F" w:rsidRDefault="00243401">
      <w:pPr>
        <w:ind w:left="-5" w:right="39"/>
      </w:pPr>
      <w:r>
        <w:t xml:space="preserve">Lhůta pro dokončení opravy poruch kategorie </w:t>
      </w:r>
      <w:r w:rsidR="00641840">
        <w:t>2</w:t>
      </w:r>
      <w:r>
        <w:t xml:space="preserve"> činí max. </w:t>
      </w:r>
      <w:r w:rsidR="00707FE7">
        <w:t>60</w:t>
      </w:r>
      <w:r>
        <w:t xml:space="preserve"> kalendářních dnů od nástupu na realizaci opravy</w:t>
      </w:r>
      <w:r w:rsidR="00961963">
        <w:t>, přičemž lhůta může být v jednotlivých případech upravena dle dohody s objednatelem</w:t>
      </w:r>
      <w:r>
        <w:t xml:space="preserve">. </w:t>
      </w:r>
    </w:p>
    <w:p w14:paraId="2BA9C703" w14:textId="77777777" w:rsidR="00A1458F" w:rsidRDefault="00243401">
      <w:pPr>
        <w:spacing w:after="98" w:line="259" w:lineRule="auto"/>
        <w:ind w:left="0" w:firstLine="0"/>
        <w:jc w:val="left"/>
      </w:pPr>
      <w:r>
        <w:t xml:space="preserve"> </w:t>
      </w:r>
    </w:p>
    <w:p w14:paraId="2B447E15" w14:textId="303447F4" w:rsidR="00A1458F" w:rsidRDefault="00243401">
      <w:pPr>
        <w:ind w:left="-5" w:right="39"/>
      </w:pPr>
      <w:r>
        <w:t xml:space="preserve">Pokud nastanou při odstraňování poruchy nepředvídané komplikace a zhotovitel nebude moci dodržet stanovenou lhůtu na odstranění poruchy, je zhotovitel povinen nahlásit tuto skutečnost bez zbytečného odkladu zástupci objednatele ve věcech technických a potvrdit lhůtu opravy telefonicky a následně i emailem. </w:t>
      </w:r>
    </w:p>
    <w:p w14:paraId="6272DBB2" w14:textId="79BC3178" w:rsidR="00A1458F" w:rsidRDefault="00243401" w:rsidP="00974A82">
      <w:pPr>
        <w:spacing w:after="9591" w:line="259" w:lineRule="auto"/>
        <w:ind w:left="0" w:firstLine="0"/>
        <w:jc w:val="left"/>
      </w:pPr>
      <w:r>
        <w:t xml:space="preserve"> </w:t>
      </w:r>
    </w:p>
    <w:sectPr w:rsidR="00A1458F">
      <w:pgSz w:w="11906" w:h="16838"/>
      <w:pgMar w:top="745" w:right="1366" w:bottom="31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24401"/>
    <w:multiLevelType w:val="hybridMultilevel"/>
    <w:tmpl w:val="2404F162"/>
    <w:lvl w:ilvl="0" w:tplc="C0A4FAAA">
      <w:start w:val="1"/>
      <w:numFmt w:val="decimal"/>
      <w:lvlText w:val="%1)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C3082">
      <w:start w:val="1"/>
      <w:numFmt w:val="lowerLetter"/>
      <w:lvlText w:val="%2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6A7658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CA6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6A93C0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009352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7C3868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A02AC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F0BDD8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A4502E"/>
    <w:multiLevelType w:val="hybridMultilevel"/>
    <w:tmpl w:val="5BFA11BA"/>
    <w:lvl w:ilvl="0" w:tplc="8A14A5FE">
      <w:start w:val="1"/>
      <w:numFmt w:val="decimal"/>
      <w:pStyle w:val="Nadpis1"/>
      <w:lvlText w:val="%1)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DAB98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3A82C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8AEAA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105A7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6586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AC67B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F2F73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0BBE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9747919">
    <w:abstractNumId w:val="0"/>
  </w:num>
  <w:num w:numId="2" w16cid:durableId="81842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58F"/>
    <w:rsid w:val="000E1B51"/>
    <w:rsid w:val="001F19CD"/>
    <w:rsid w:val="00243401"/>
    <w:rsid w:val="003E0B4D"/>
    <w:rsid w:val="00641840"/>
    <w:rsid w:val="00707FE7"/>
    <w:rsid w:val="00961963"/>
    <w:rsid w:val="00974A82"/>
    <w:rsid w:val="00A1458F"/>
    <w:rsid w:val="00A24B10"/>
    <w:rsid w:val="00A25FBE"/>
    <w:rsid w:val="00A640EC"/>
    <w:rsid w:val="00B83B53"/>
    <w:rsid w:val="00C17FBC"/>
    <w:rsid w:val="00E07167"/>
    <w:rsid w:val="00E94ED2"/>
    <w:rsid w:val="00F3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4933"/>
  <w15:docId w15:val="{9BAF8C45-20DB-499F-8D7C-EE852037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9" w:line="249" w:lineRule="auto"/>
      <w:ind w:left="10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2"/>
      </w:numPr>
      <w:spacing w:after="83"/>
      <w:ind w:left="10" w:hanging="10"/>
      <w:outlineLvl w:val="0"/>
    </w:pPr>
    <w:rPr>
      <w:rFonts w:ascii="Tahoma" w:eastAsia="Tahoma" w:hAnsi="Tahoma" w:cs="Tahoma"/>
      <w:b/>
      <w:color w:val="00000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ahoma" w:eastAsia="Tahoma" w:hAnsi="Tahoma" w:cs="Tahoma"/>
      <w:b/>
      <w:color w:val="000000"/>
      <w:sz w:val="22"/>
      <w:u w:val="single" w:color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F31D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DF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DF7"/>
    <w:rPr>
      <w:rFonts w:ascii="Tahoma" w:eastAsia="Tahoma" w:hAnsi="Tahoma" w:cs="Tahoma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D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DF7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A640EC"/>
    <w:pPr>
      <w:spacing w:after="0" w:line="240" w:lineRule="auto"/>
    </w:pPr>
    <w:rPr>
      <w:rFonts w:ascii="Tahoma" w:eastAsia="Tahoma" w:hAnsi="Tahoma" w:cs="Tahoma"/>
      <w:color w:val="000000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4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4ED2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VSB-TUO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subject/>
  <dc:creator>Cieslar Martin | CHVÁLEK ATELIÉR</dc:creator>
  <cp:keywords/>
  <cp:lastModifiedBy>Jilek Miroslav</cp:lastModifiedBy>
  <cp:revision>3</cp:revision>
  <dcterms:created xsi:type="dcterms:W3CDTF">2022-09-05T21:22:00Z</dcterms:created>
  <dcterms:modified xsi:type="dcterms:W3CDTF">2022-09-08T16:04:00Z</dcterms:modified>
</cp:coreProperties>
</file>